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831"/>
        <w:gridCol w:w="316"/>
        <w:gridCol w:w="1599"/>
        <w:gridCol w:w="316"/>
        <w:gridCol w:w="2063"/>
        <w:gridCol w:w="316"/>
        <w:gridCol w:w="1697"/>
        <w:gridCol w:w="1649"/>
        <w:gridCol w:w="1728"/>
        <w:gridCol w:w="2167"/>
        <w:gridCol w:w="672"/>
      </w:tblGrid>
      <w:tr w:rsidR="00B06692" w:rsidRPr="001A1D57" w:rsidTr="004275A3">
        <w:trPr>
          <w:trHeight w:val="288"/>
        </w:trPr>
        <w:tc>
          <w:tcPr>
            <w:tcW w:w="0" w:type="auto"/>
            <w:gridSpan w:val="9"/>
            <w:tcBorders>
              <w:top w:val="single" w:sz="18" w:space="0" w:color="auto"/>
              <w:left w:val="single" w:sz="18" w:space="0" w:color="auto"/>
              <w:bottom w:val="single" w:sz="4" w:space="0" w:color="auto"/>
              <w:right w:val="single" w:sz="8" w:space="0" w:color="000000"/>
            </w:tcBorders>
            <w:shd w:val="clear" w:color="auto" w:fill="auto"/>
          </w:tcPr>
          <w:p w:rsidR="00B06692" w:rsidRPr="001A1D57" w:rsidRDefault="00B06692" w:rsidP="00B0669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Facilities Stewardship</w:t>
            </w:r>
            <w:r w:rsidR="003E635B">
              <w:rPr>
                <w:rFonts w:ascii="Times New Roman" w:eastAsia="Times New Roman" w:hAnsi="Times New Roman" w:cs="Times New Roman"/>
                <w:b/>
                <w:bCs/>
                <w:color w:val="000000"/>
                <w:sz w:val="20"/>
                <w:szCs w:val="20"/>
              </w:rPr>
              <w:t xml:space="preserve"> Index</w:t>
            </w:r>
          </w:p>
        </w:tc>
        <w:tc>
          <w:tcPr>
            <w:tcW w:w="0" w:type="auto"/>
            <w:tcBorders>
              <w:top w:val="single" w:sz="18" w:space="0" w:color="auto"/>
              <w:left w:val="single" w:sz="8" w:space="0" w:color="auto"/>
              <w:bottom w:val="single" w:sz="4" w:space="0" w:color="auto"/>
              <w:right w:val="single" w:sz="8" w:space="0" w:color="000000"/>
            </w:tcBorders>
            <w:shd w:val="clear" w:color="auto" w:fill="auto"/>
          </w:tcPr>
          <w:p w:rsidR="00B06692" w:rsidRPr="001A1D57" w:rsidRDefault="00B06692" w:rsidP="00290AE4">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FSI</w:t>
            </w:r>
          </w:p>
        </w:tc>
        <w:tc>
          <w:tcPr>
            <w:tcW w:w="0" w:type="auto"/>
            <w:tcBorders>
              <w:top w:val="single" w:sz="18" w:space="0" w:color="auto"/>
              <w:left w:val="single" w:sz="8" w:space="0" w:color="auto"/>
              <w:bottom w:val="single" w:sz="4" w:space="0" w:color="auto"/>
              <w:right w:val="single" w:sz="18" w:space="0" w:color="auto"/>
            </w:tcBorders>
            <w:shd w:val="clear" w:color="auto" w:fill="auto"/>
          </w:tcPr>
          <w:p w:rsidR="00B06692" w:rsidRPr="001A1D57" w:rsidRDefault="00B06692" w:rsidP="001A1D57">
            <w:pPr>
              <w:spacing w:after="0" w:line="240" w:lineRule="auto"/>
              <w:rPr>
                <w:rFonts w:ascii="Times New Roman" w:eastAsia="Times New Roman" w:hAnsi="Times New Roman" w:cs="Times New Roman"/>
                <w:b/>
                <w:bCs/>
                <w:color w:val="000000"/>
                <w:sz w:val="20"/>
                <w:szCs w:val="20"/>
              </w:rPr>
            </w:pPr>
          </w:p>
        </w:tc>
      </w:tr>
      <w:tr w:rsidR="00CF588A" w:rsidRPr="001A1D57" w:rsidTr="00B46C3F">
        <w:trPr>
          <w:trHeight w:val="116"/>
        </w:trPr>
        <w:tc>
          <w:tcPr>
            <w:tcW w:w="0" w:type="auto"/>
            <w:gridSpan w:val="11"/>
            <w:tcBorders>
              <w:top w:val="single" w:sz="4" w:space="0" w:color="auto"/>
              <w:left w:val="single" w:sz="18" w:space="0" w:color="auto"/>
              <w:bottom w:val="single" w:sz="4" w:space="0" w:color="auto"/>
              <w:right w:val="single" w:sz="18" w:space="0" w:color="auto"/>
            </w:tcBorders>
            <w:shd w:val="clear" w:color="auto" w:fill="FFD966" w:themeFill="accent4" w:themeFillTint="99"/>
          </w:tcPr>
          <w:p w:rsidR="00CF588A" w:rsidRPr="001A1D57" w:rsidRDefault="00CF588A" w:rsidP="001A1D5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Mission</w:t>
            </w:r>
          </w:p>
        </w:tc>
      </w:tr>
      <w:tr w:rsidR="00B85A52" w:rsidRPr="001A1D57" w:rsidTr="00A93C41">
        <w:trPr>
          <w:trHeight w:val="825"/>
        </w:trPr>
        <w:tc>
          <w:tcPr>
            <w:tcW w:w="0" w:type="auto"/>
            <w:gridSpan w:val="11"/>
            <w:tcBorders>
              <w:top w:val="single" w:sz="4" w:space="0" w:color="auto"/>
              <w:left w:val="single" w:sz="18" w:space="0" w:color="auto"/>
              <w:bottom w:val="single" w:sz="4" w:space="0" w:color="auto"/>
              <w:right w:val="single" w:sz="18" w:space="0" w:color="auto"/>
            </w:tcBorders>
            <w:shd w:val="clear" w:color="auto" w:fill="auto"/>
            <w:hideMark/>
          </w:tcPr>
          <w:p w:rsidR="00B85A52" w:rsidRPr="001A1D57" w:rsidRDefault="00B85A52" w:rsidP="001A1D57">
            <w:pPr>
              <w:spacing w:after="0" w:line="240" w:lineRule="auto"/>
              <w:rPr>
                <w:rFonts w:ascii="Times New Roman" w:eastAsia="Times New Roman" w:hAnsi="Times New Roman" w:cs="Times New Roman"/>
                <w:b/>
                <w:bCs/>
                <w:color w:val="000000"/>
                <w:sz w:val="20"/>
                <w:szCs w:val="20"/>
              </w:rPr>
            </w:pPr>
            <w:r w:rsidRPr="001A1D57">
              <w:rPr>
                <w:rFonts w:ascii="Times New Roman" w:eastAsia="Times New Roman" w:hAnsi="Times New Roman" w:cs="Times New Roman"/>
                <w:b/>
                <w:bCs/>
                <w:color w:val="000000"/>
                <w:sz w:val="20"/>
                <w:szCs w:val="20"/>
              </w:rPr>
              <w:t>Program Plan:</w:t>
            </w:r>
            <w:r w:rsidRPr="001A1D57">
              <w:rPr>
                <w:rFonts w:ascii="Times New Roman" w:eastAsia="Times New Roman" w:hAnsi="Times New Roman" w:cs="Times New Roman"/>
                <w:color w:val="000000"/>
                <w:sz w:val="20"/>
                <w:szCs w:val="20"/>
              </w:rPr>
              <w:t xml:space="preserve"> The degree to which a project directly supports the campus's programmatic goals and objectives as stated in the campus strategic plan. Examples may include projects that affect programs identified for enhancement, projects that affect accreditation and projects that will affect external funding for research. Other strategic plan considerations may include projects that correct space deficiencies and/or increase instructional capacity. The weighting should reflect the project’s impact on students, faculty, programs, and the institution, the effect on revenue and cost, including any anticipated cost avoidance, economies, and economic payback. </w:t>
            </w:r>
          </w:p>
        </w:tc>
      </w:tr>
      <w:tr w:rsidR="00290AE4" w:rsidRPr="001A1D57" w:rsidTr="00B46C3F">
        <w:trPr>
          <w:trHeight w:val="300"/>
        </w:trPr>
        <w:tc>
          <w:tcPr>
            <w:tcW w:w="0" w:type="auto"/>
            <w:tcBorders>
              <w:top w:val="nil"/>
              <w:left w:val="single" w:sz="18" w:space="0" w:color="auto"/>
              <w:bottom w:val="single" w:sz="4" w:space="0" w:color="auto"/>
              <w:right w:val="single" w:sz="4" w:space="0" w:color="auto"/>
            </w:tcBorders>
            <w:shd w:val="clear" w:color="auto" w:fill="FFD966" w:themeFill="accent4" w:themeFillTint="99"/>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18" w:space="0" w:color="auto"/>
            </w:tcBorders>
            <w:shd w:val="clear" w:color="auto" w:fill="FFD966" w:themeFill="accent4" w:themeFillTint="99"/>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w:t>
            </w:r>
          </w:p>
        </w:tc>
      </w:tr>
      <w:tr w:rsidR="00290AE4" w:rsidRPr="001A1D57" w:rsidTr="00A93C41">
        <w:trPr>
          <w:trHeight w:val="1785"/>
        </w:trPr>
        <w:tc>
          <w:tcPr>
            <w:tcW w:w="0" w:type="auto"/>
            <w:tcBorders>
              <w:top w:val="nil"/>
              <w:left w:val="single" w:sz="18" w:space="0" w:color="auto"/>
              <w:bottom w:val="single" w:sz="4" w:space="0" w:color="auto"/>
              <w:right w:val="single" w:sz="4" w:space="0" w:color="auto"/>
            </w:tcBorders>
            <w:shd w:val="clear" w:color="auto" w:fill="auto"/>
          </w:tcPr>
          <w:p w:rsidR="00290AE4" w:rsidRPr="001A1D57" w:rsidRDefault="00290AE4" w:rsidP="00AB4599">
            <w:pPr>
              <w:spacing w:after="0" w:line="240" w:lineRule="auto"/>
              <w:rPr>
                <w:rFonts w:ascii="Times New Roman" w:eastAsia="Times New Roman" w:hAnsi="Times New Roman" w:cs="Times New Roman"/>
                <w:color w:val="000000"/>
                <w:sz w:val="18"/>
                <w:szCs w:val="18"/>
              </w:rPr>
            </w:pPr>
            <w:r w:rsidRPr="001A1D57">
              <w:rPr>
                <w:rFonts w:ascii="Times New Roman" w:eastAsia="Times New Roman" w:hAnsi="Times New Roman" w:cs="Times New Roman"/>
                <w:color w:val="000000"/>
                <w:sz w:val="18"/>
                <w:szCs w:val="18"/>
              </w:rPr>
              <w:t>No impact.</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Campus core academic program activities may be adversely impacted without the project.  Some positive impact on campus enrollment, research, accreditation, and/or campus revenue.</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Continuing campus current core program activities will not be possible without the project.  Significant positive impact on campus enrollment, research, accreditation, and campus revenue.</w:t>
            </w:r>
          </w:p>
        </w:tc>
        <w:tc>
          <w:tcPr>
            <w:tcW w:w="0" w:type="auto"/>
            <w:tcBorders>
              <w:top w:val="nil"/>
              <w:left w:val="nil"/>
              <w:bottom w:val="single" w:sz="4" w:space="0" w:color="auto"/>
              <w:right w:val="single" w:sz="18" w:space="0" w:color="auto"/>
            </w:tcBorders>
            <w:shd w:val="clear" w:color="auto" w:fill="FFF2CC" w:themeFill="accent4" w:themeFillTint="33"/>
          </w:tcPr>
          <w:p w:rsidR="00290AE4" w:rsidRPr="001A1D57" w:rsidRDefault="00290AE4" w:rsidP="00AB4599">
            <w:pPr>
              <w:spacing w:after="0" w:line="240" w:lineRule="auto"/>
              <w:rPr>
                <w:rFonts w:ascii="Times New Roman" w:eastAsia="Times New Roman" w:hAnsi="Times New Roman" w:cs="Times New Roman"/>
                <w:color w:val="000000"/>
                <w:sz w:val="20"/>
                <w:szCs w:val="20"/>
              </w:rPr>
            </w:pPr>
            <w:permStart w:id="2144405073" w:edGrp="everyone"/>
            <w:permEnd w:id="2144405073"/>
          </w:p>
        </w:tc>
      </w:tr>
      <w:tr w:rsidR="00CF588A" w:rsidRPr="001A1D57" w:rsidTr="00B46C3F">
        <w:trPr>
          <w:trHeight w:val="1079"/>
        </w:trPr>
        <w:tc>
          <w:tcPr>
            <w:tcW w:w="0" w:type="auto"/>
            <w:gridSpan w:val="11"/>
            <w:tcBorders>
              <w:top w:val="single" w:sz="4" w:space="0" w:color="auto"/>
              <w:left w:val="single" w:sz="18" w:space="0" w:color="auto"/>
              <w:bottom w:val="single" w:sz="4" w:space="0" w:color="auto"/>
              <w:right w:val="single" w:sz="18" w:space="0" w:color="auto"/>
            </w:tcBorders>
            <w:shd w:val="clear" w:color="auto" w:fill="FFF2CC" w:themeFill="accent4" w:themeFillTint="33"/>
          </w:tcPr>
          <w:p w:rsidR="00CF588A" w:rsidRDefault="00CF588A" w:rsidP="001A1D5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Justification:  </w:t>
            </w:r>
            <w:permStart w:id="2030654328" w:edGrp="everyone"/>
            <w:permEnd w:id="2030654328"/>
          </w:p>
        </w:tc>
      </w:tr>
      <w:tr w:rsidR="00A93C41" w:rsidRPr="001A1D57" w:rsidTr="00A93C41">
        <w:trPr>
          <w:trHeight w:val="989"/>
        </w:trPr>
        <w:tc>
          <w:tcPr>
            <w:tcW w:w="0" w:type="auto"/>
            <w:gridSpan w:val="11"/>
            <w:tcBorders>
              <w:top w:val="single" w:sz="4" w:space="0" w:color="auto"/>
              <w:left w:val="single" w:sz="18" w:space="0" w:color="auto"/>
              <w:bottom w:val="single" w:sz="4" w:space="0" w:color="auto"/>
              <w:right w:val="single" w:sz="18" w:space="0" w:color="auto"/>
            </w:tcBorders>
            <w:shd w:val="clear" w:color="auto" w:fill="auto"/>
            <w:hideMark/>
          </w:tcPr>
          <w:p w:rsidR="00A93C41" w:rsidRPr="001A1D57" w:rsidRDefault="00A93C41" w:rsidP="00B7221B">
            <w:pPr>
              <w:spacing w:after="0" w:line="240" w:lineRule="auto"/>
              <w:rPr>
                <w:rFonts w:ascii="Times New Roman" w:eastAsia="Times New Roman" w:hAnsi="Times New Roman" w:cs="Times New Roman"/>
                <w:b/>
                <w:bCs/>
                <w:color w:val="000000"/>
                <w:sz w:val="20"/>
                <w:szCs w:val="20"/>
              </w:rPr>
            </w:pPr>
            <w:r w:rsidRPr="001A1D57">
              <w:rPr>
                <w:rFonts w:ascii="Times New Roman" w:eastAsia="Times New Roman" w:hAnsi="Times New Roman" w:cs="Times New Roman"/>
                <w:b/>
                <w:bCs/>
                <w:color w:val="000000"/>
                <w:sz w:val="20"/>
                <w:szCs w:val="20"/>
              </w:rPr>
              <w:t>State, Regional, and Community Impact:</w:t>
            </w:r>
            <w:r w:rsidRPr="001A1D57">
              <w:rPr>
                <w:rFonts w:ascii="Times New Roman" w:eastAsia="Times New Roman" w:hAnsi="Times New Roman" w:cs="Times New Roman"/>
                <w:color w:val="000000"/>
                <w:sz w:val="20"/>
                <w:szCs w:val="20"/>
              </w:rPr>
              <w:t xml:space="preserve"> The degree to which a </w:t>
            </w:r>
            <w:r>
              <w:rPr>
                <w:rFonts w:ascii="Times New Roman" w:eastAsia="Times New Roman" w:hAnsi="Times New Roman" w:cs="Times New Roman"/>
                <w:color w:val="000000"/>
                <w:sz w:val="20"/>
                <w:szCs w:val="20"/>
              </w:rPr>
              <w:t>project can demonstrate</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br/>
            </w:r>
            <w:r w:rsidRPr="001A1D57">
              <w:rPr>
                <w:rFonts w:ascii="Times New Roman" w:eastAsia="Times New Roman" w:hAnsi="Times New Roman" w:cs="Times New Roman"/>
                <w:color w:val="000000"/>
                <w:sz w:val="20"/>
                <w:szCs w:val="20"/>
              </w:rPr>
              <w:t>1. Alignment with state priorities (STEM, education of healthcare professionals, etc.), and/or</w:t>
            </w:r>
            <w:r w:rsidRPr="001A1D57">
              <w:rPr>
                <w:rFonts w:ascii="Times New Roman" w:eastAsia="Times New Roman" w:hAnsi="Times New Roman" w:cs="Times New Roman"/>
                <w:color w:val="000000"/>
                <w:sz w:val="20"/>
                <w:szCs w:val="20"/>
              </w:rPr>
              <w:br/>
              <w:t>2. Positive impact on state and regional job creation and economic development beyond the immediate impact of the construction spending support, and/or</w:t>
            </w:r>
            <w:r w:rsidRPr="001A1D57">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3</w:t>
            </w:r>
            <w:r w:rsidRPr="001A1D57">
              <w:rPr>
                <w:rFonts w:ascii="Times New Roman" w:eastAsia="Times New Roman" w:hAnsi="Times New Roman" w:cs="Times New Roman"/>
                <w:color w:val="000000"/>
                <w:sz w:val="20"/>
                <w:szCs w:val="20"/>
              </w:rPr>
              <w:t>. Creation of partnerships between state higher educational institutions, and other public and private entities, both statewide and regional, that d</w:t>
            </w:r>
            <w:r>
              <w:rPr>
                <w:rFonts w:ascii="Times New Roman" w:eastAsia="Times New Roman" w:hAnsi="Times New Roman" w:cs="Times New Roman"/>
                <w:color w:val="000000"/>
                <w:sz w:val="20"/>
                <w:szCs w:val="20"/>
              </w:rPr>
              <w:t>isplay support for the project.</w:t>
            </w:r>
          </w:p>
        </w:tc>
      </w:tr>
      <w:tr w:rsidR="00290AE4" w:rsidRPr="001A1D57" w:rsidTr="00B46C3F">
        <w:trPr>
          <w:trHeight w:val="300"/>
        </w:trPr>
        <w:tc>
          <w:tcPr>
            <w:tcW w:w="0" w:type="auto"/>
            <w:tcBorders>
              <w:top w:val="nil"/>
              <w:left w:val="single" w:sz="18" w:space="0" w:color="auto"/>
              <w:bottom w:val="single" w:sz="4" w:space="0" w:color="auto"/>
              <w:right w:val="single" w:sz="4" w:space="0" w:color="auto"/>
            </w:tcBorders>
            <w:shd w:val="clear" w:color="auto" w:fill="FFD966" w:themeFill="accent4" w:themeFillTint="99"/>
            <w:hideMark/>
          </w:tcPr>
          <w:p w:rsidR="00290AE4" w:rsidRPr="001A1D57" w:rsidRDefault="00290AE4" w:rsidP="00B7221B">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B7221B">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B7221B">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B7221B">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B7221B">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B7221B">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B7221B">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B7221B">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B7221B">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FFD966" w:themeFill="accent4" w:themeFillTint="99"/>
            <w:hideMark/>
          </w:tcPr>
          <w:p w:rsidR="00290AE4" w:rsidRPr="001A1D57" w:rsidRDefault="00290AE4" w:rsidP="00B7221B">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18" w:space="0" w:color="auto"/>
            </w:tcBorders>
            <w:shd w:val="clear" w:color="auto" w:fill="FFD966" w:themeFill="accent4" w:themeFillTint="99"/>
          </w:tcPr>
          <w:p w:rsidR="00290AE4" w:rsidRPr="001A1D57" w:rsidRDefault="00B46145" w:rsidP="00B7221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w:t>
            </w:r>
          </w:p>
        </w:tc>
      </w:tr>
      <w:tr w:rsidR="00290AE4" w:rsidRPr="001A1D57" w:rsidTr="00B46C3F">
        <w:trPr>
          <w:trHeight w:val="2295"/>
        </w:trPr>
        <w:tc>
          <w:tcPr>
            <w:tcW w:w="0" w:type="auto"/>
            <w:tcBorders>
              <w:top w:val="nil"/>
              <w:left w:val="single" w:sz="18" w:space="0" w:color="auto"/>
              <w:bottom w:val="nil"/>
              <w:right w:val="single" w:sz="4" w:space="0" w:color="auto"/>
            </w:tcBorders>
            <w:shd w:val="clear" w:color="auto" w:fill="auto"/>
            <w:hideMark/>
          </w:tcPr>
          <w:p w:rsidR="00290AE4" w:rsidRPr="001A1D57" w:rsidRDefault="00290AE4" w:rsidP="00290AE4">
            <w:pPr>
              <w:spacing w:after="0" w:line="240" w:lineRule="auto"/>
              <w:rPr>
                <w:rFonts w:ascii="Times New Roman" w:eastAsia="Times New Roman" w:hAnsi="Times New Roman" w:cs="Times New Roman"/>
                <w:color w:val="000000"/>
                <w:sz w:val="18"/>
                <w:szCs w:val="18"/>
              </w:rPr>
            </w:pPr>
            <w:r w:rsidRPr="001A1D57">
              <w:rPr>
                <w:rFonts w:ascii="Times New Roman" w:eastAsia="Times New Roman" w:hAnsi="Times New Roman" w:cs="Times New Roman"/>
                <w:color w:val="000000"/>
                <w:sz w:val="18"/>
                <w:szCs w:val="18"/>
              </w:rPr>
              <w:t>No Impact</w:t>
            </w:r>
            <w:r>
              <w:rPr>
                <w:rFonts w:ascii="Times New Roman" w:eastAsia="Times New Roman" w:hAnsi="Times New Roman" w:cs="Times New Roman"/>
                <w:color w:val="000000"/>
                <w:sz w:val="18"/>
                <w:szCs w:val="18"/>
              </w:rPr>
              <w:t>.</w:t>
            </w:r>
          </w:p>
        </w:tc>
        <w:tc>
          <w:tcPr>
            <w:tcW w:w="0" w:type="auto"/>
            <w:tcBorders>
              <w:top w:val="nil"/>
              <w:left w:val="nil"/>
              <w:bottom w:val="nil"/>
              <w:right w:val="single" w:sz="4" w:space="0" w:color="auto"/>
            </w:tcBorders>
            <w:shd w:val="clear" w:color="auto" w:fill="auto"/>
            <w:hideMark/>
          </w:tcPr>
          <w:p w:rsidR="00290AE4" w:rsidRPr="001A1D57" w:rsidRDefault="00290AE4" w:rsidP="00B7221B">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The project demonstrates creation of partnerships</w:t>
            </w:r>
            <w:r>
              <w:rPr>
                <w:rFonts w:ascii="Times New Roman" w:eastAsia="Times New Roman" w:hAnsi="Times New Roman" w:cs="Times New Roman"/>
                <w:color w:val="000000"/>
                <w:sz w:val="20"/>
                <w:szCs w:val="20"/>
              </w:rPr>
              <w:t>.</w:t>
            </w:r>
          </w:p>
        </w:tc>
        <w:tc>
          <w:tcPr>
            <w:tcW w:w="0" w:type="auto"/>
            <w:tcBorders>
              <w:top w:val="nil"/>
              <w:left w:val="nil"/>
              <w:bottom w:val="nil"/>
              <w:right w:val="single" w:sz="4" w:space="0" w:color="auto"/>
            </w:tcBorders>
            <w:shd w:val="clear" w:color="auto" w:fill="auto"/>
            <w:hideMark/>
          </w:tcPr>
          <w:p w:rsidR="00290AE4" w:rsidRPr="001A1D57" w:rsidRDefault="00290AE4" w:rsidP="00B7221B">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The project demonstrates economic development beyo</w:t>
            </w:r>
            <w:r>
              <w:rPr>
                <w:rFonts w:ascii="Times New Roman" w:eastAsia="Times New Roman" w:hAnsi="Times New Roman" w:cs="Times New Roman"/>
                <w:color w:val="000000"/>
                <w:sz w:val="20"/>
                <w:szCs w:val="20"/>
              </w:rPr>
              <w:t>nd the construction multipliers.</w:t>
            </w:r>
          </w:p>
        </w:tc>
        <w:tc>
          <w:tcPr>
            <w:tcW w:w="0" w:type="auto"/>
            <w:tcBorders>
              <w:top w:val="nil"/>
              <w:left w:val="nil"/>
              <w:bottom w:val="nil"/>
              <w:right w:val="single" w:sz="4" w:space="0" w:color="auto"/>
            </w:tcBorders>
            <w:shd w:val="clear" w:color="auto" w:fill="auto"/>
            <w:hideMark/>
          </w:tcPr>
          <w:p w:rsidR="00290AE4" w:rsidRPr="001A1D57" w:rsidRDefault="00290AE4" w:rsidP="00B7221B">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xml:space="preserve">The project demonstrates economic development beyond the construction multipliers, and </w:t>
            </w:r>
            <w:r>
              <w:rPr>
                <w:rFonts w:ascii="Times New Roman" w:eastAsia="Times New Roman" w:hAnsi="Times New Roman" w:cs="Times New Roman"/>
                <w:color w:val="000000"/>
                <w:sz w:val="20"/>
                <w:szCs w:val="20"/>
              </w:rPr>
              <w:t xml:space="preserve">creates </w:t>
            </w:r>
            <w:r w:rsidRPr="001A1D57">
              <w:rPr>
                <w:rFonts w:ascii="Times New Roman" w:eastAsia="Times New Roman" w:hAnsi="Times New Roman" w:cs="Times New Roman"/>
                <w:color w:val="000000"/>
                <w:sz w:val="20"/>
                <w:szCs w:val="20"/>
              </w:rPr>
              <w:t>partnership</w:t>
            </w:r>
            <w:r>
              <w:rPr>
                <w:rFonts w:ascii="Times New Roman" w:eastAsia="Times New Roman" w:hAnsi="Times New Roman" w:cs="Times New Roman"/>
                <w:color w:val="000000"/>
                <w:sz w:val="20"/>
                <w:szCs w:val="20"/>
              </w:rPr>
              <w:t>s.</w:t>
            </w:r>
          </w:p>
        </w:tc>
        <w:tc>
          <w:tcPr>
            <w:tcW w:w="0" w:type="auto"/>
            <w:tcBorders>
              <w:top w:val="nil"/>
              <w:left w:val="nil"/>
              <w:bottom w:val="nil"/>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The project demonstrates alignment with state priorities</w:t>
            </w:r>
            <w:r>
              <w:rPr>
                <w:rFonts w:ascii="Times New Roman" w:eastAsia="Times New Roman" w:hAnsi="Times New Roman" w:cs="Times New Roman"/>
                <w:color w:val="000000"/>
                <w:sz w:val="20"/>
                <w:szCs w:val="20"/>
              </w:rPr>
              <w:t>.</w:t>
            </w:r>
          </w:p>
        </w:tc>
        <w:tc>
          <w:tcPr>
            <w:tcW w:w="0" w:type="auto"/>
            <w:tcBorders>
              <w:top w:val="nil"/>
              <w:left w:val="nil"/>
              <w:bottom w:val="nil"/>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The project demonstrates alignment with state priorities, and economic development beyond the construction multipliers</w:t>
            </w:r>
            <w:r>
              <w:rPr>
                <w:rFonts w:ascii="Times New Roman" w:eastAsia="Times New Roman" w:hAnsi="Times New Roman" w:cs="Times New Roman"/>
                <w:color w:val="000000"/>
                <w:sz w:val="20"/>
                <w:szCs w:val="20"/>
              </w:rPr>
              <w:t>.</w:t>
            </w:r>
          </w:p>
        </w:tc>
        <w:tc>
          <w:tcPr>
            <w:tcW w:w="0" w:type="auto"/>
            <w:tcBorders>
              <w:top w:val="nil"/>
              <w:left w:val="nil"/>
              <w:bottom w:val="nil"/>
              <w:right w:val="single" w:sz="4" w:space="0" w:color="auto"/>
            </w:tcBorders>
            <w:shd w:val="clear" w:color="auto" w:fill="auto"/>
            <w:hideMark/>
          </w:tcPr>
          <w:p w:rsidR="00290AE4" w:rsidRPr="001A1D57" w:rsidRDefault="00290AE4" w:rsidP="00AB4599">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xml:space="preserve">The project demonstrates alignment with state priorities, economic development beyond the construction multipliers, and </w:t>
            </w:r>
            <w:r>
              <w:rPr>
                <w:rFonts w:ascii="Times New Roman" w:eastAsia="Times New Roman" w:hAnsi="Times New Roman" w:cs="Times New Roman"/>
                <w:color w:val="000000"/>
                <w:sz w:val="20"/>
                <w:szCs w:val="20"/>
              </w:rPr>
              <w:t>creates partnerships</w:t>
            </w:r>
            <w:r w:rsidRPr="001A1D57">
              <w:rPr>
                <w:rFonts w:ascii="Times New Roman" w:eastAsia="Times New Roman" w:hAnsi="Times New Roman" w:cs="Times New Roman"/>
                <w:color w:val="000000"/>
                <w:sz w:val="20"/>
                <w:szCs w:val="20"/>
              </w:rPr>
              <w:t>.</w:t>
            </w:r>
          </w:p>
        </w:tc>
        <w:tc>
          <w:tcPr>
            <w:tcW w:w="0" w:type="auto"/>
            <w:tcBorders>
              <w:top w:val="nil"/>
              <w:left w:val="nil"/>
              <w:bottom w:val="nil"/>
              <w:right w:val="single" w:sz="18" w:space="0" w:color="auto"/>
            </w:tcBorders>
          </w:tcPr>
          <w:p w:rsidR="00290AE4" w:rsidRPr="001A1D57" w:rsidRDefault="00290AE4" w:rsidP="00B7221B">
            <w:pPr>
              <w:spacing w:after="0" w:line="240" w:lineRule="auto"/>
              <w:rPr>
                <w:rFonts w:ascii="Times New Roman" w:eastAsia="Times New Roman" w:hAnsi="Times New Roman" w:cs="Times New Roman"/>
                <w:color w:val="000000"/>
                <w:sz w:val="20"/>
                <w:szCs w:val="20"/>
              </w:rPr>
            </w:pPr>
            <w:permStart w:id="1507404364" w:edGrp="everyone"/>
            <w:permEnd w:id="1507404364"/>
          </w:p>
        </w:tc>
      </w:tr>
      <w:tr w:rsidR="00CF588A" w:rsidRPr="001A1D57" w:rsidTr="00A93C41">
        <w:trPr>
          <w:trHeight w:val="1880"/>
        </w:trPr>
        <w:tc>
          <w:tcPr>
            <w:tcW w:w="0" w:type="auto"/>
            <w:gridSpan w:val="11"/>
            <w:tcBorders>
              <w:top w:val="single" w:sz="4" w:space="0" w:color="auto"/>
              <w:left w:val="single" w:sz="18" w:space="0" w:color="auto"/>
              <w:bottom w:val="single" w:sz="4" w:space="0" w:color="auto"/>
              <w:right w:val="single" w:sz="18" w:space="0" w:color="auto"/>
            </w:tcBorders>
            <w:shd w:val="clear" w:color="auto" w:fill="FFF2CC" w:themeFill="accent4" w:themeFillTint="33"/>
          </w:tcPr>
          <w:p w:rsidR="00CF588A" w:rsidRPr="001A1D57" w:rsidRDefault="00CF588A" w:rsidP="001A1D5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Justification:</w:t>
            </w:r>
            <w:permStart w:id="1069225823" w:edGrp="everyone"/>
            <w:permEnd w:id="1069225823"/>
          </w:p>
        </w:tc>
      </w:tr>
      <w:tr w:rsidR="00CF588A" w:rsidRPr="001A1D57" w:rsidTr="00B46C3F">
        <w:trPr>
          <w:trHeight w:val="45"/>
        </w:trPr>
        <w:tc>
          <w:tcPr>
            <w:tcW w:w="0" w:type="auto"/>
            <w:gridSpan w:val="11"/>
            <w:tcBorders>
              <w:top w:val="single" w:sz="4" w:space="0" w:color="auto"/>
              <w:left w:val="single" w:sz="18" w:space="0" w:color="auto"/>
              <w:bottom w:val="single" w:sz="4" w:space="0" w:color="auto"/>
              <w:right w:val="single" w:sz="18" w:space="0" w:color="auto"/>
            </w:tcBorders>
            <w:shd w:val="clear" w:color="auto" w:fill="A8D08D" w:themeFill="accent6" w:themeFillTint="99"/>
          </w:tcPr>
          <w:p w:rsidR="00CF588A" w:rsidRPr="001A1D57" w:rsidRDefault="00CF588A" w:rsidP="001A1D5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Sustainability</w:t>
            </w:r>
          </w:p>
        </w:tc>
      </w:tr>
      <w:tr w:rsidR="00A93C41" w:rsidRPr="001A1D57" w:rsidTr="00A93C41">
        <w:trPr>
          <w:trHeight w:val="495"/>
        </w:trPr>
        <w:tc>
          <w:tcPr>
            <w:tcW w:w="0" w:type="auto"/>
            <w:gridSpan w:val="11"/>
            <w:tcBorders>
              <w:top w:val="single" w:sz="4" w:space="0" w:color="auto"/>
              <w:left w:val="single" w:sz="18" w:space="0" w:color="auto"/>
              <w:bottom w:val="single" w:sz="4" w:space="0" w:color="auto"/>
              <w:right w:val="single" w:sz="18" w:space="0" w:color="auto"/>
            </w:tcBorders>
            <w:shd w:val="clear" w:color="auto" w:fill="auto"/>
            <w:hideMark/>
          </w:tcPr>
          <w:p w:rsidR="00A93C41" w:rsidRPr="001A1D57" w:rsidRDefault="00A93C41" w:rsidP="001A1D57">
            <w:pPr>
              <w:spacing w:after="0" w:line="240" w:lineRule="auto"/>
              <w:rPr>
                <w:rFonts w:ascii="Times New Roman" w:eastAsia="Times New Roman" w:hAnsi="Times New Roman" w:cs="Times New Roman"/>
                <w:b/>
                <w:bCs/>
                <w:color w:val="000000"/>
                <w:sz w:val="20"/>
                <w:szCs w:val="20"/>
              </w:rPr>
            </w:pPr>
            <w:r w:rsidRPr="001A1D57">
              <w:rPr>
                <w:rFonts w:ascii="Times New Roman" w:eastAsia="Times New Roman" w:hAnsi="Times New Roman" w:cs="Times New Roman"/>
                <w:b/>
                <w:bCs/>
                <w:color w:val="000000"/>
                <w:sz w:val="20"/>
                <w:szCs w:val="20"/>
              </w:rPr>
              <w:t>Facilities Renewal:</w:t>
            </w:r>
            <w:r w:rsidRPr="001A1D57">
              <w:rPr>
                <w:rFonts w:ascii="Times New Roman" w:eastAsia="Times New Roman" w:hAnsi="Times New Roman" w:cs="Times New Roman"/>
                <w:color w:val="000000"/>
                <w:sz w:val="20"/>
                <w:szCs w:val="20"/>
              </w:rPr>
              <w:t xml:space="preserve"> The degree to which a project reuses and improves existing space, improves the building and/or campus Facilities Condition Needs Index [FCNI], razes obsolete space, and/or economically eliminates leased space. </w:t>
            </w:r>
          </w:p>
        </w:tc>
      </w:tr>
      <w:tr w:rsidR="00290AE4" w:rsidRPr="001A1D57" w:rsidTr="00B46C3F">
        <w:trPr>
          <w:trHeight w:val="300"/>
        </w:trPr>
        <w:tc>
          <w:tcPr>
            <w:tcW w:w="0" w:type="auto"/>
            <w:tcBorders>
              <w:top w:val="nil"/>
              <w:left w:val="single" w:sz="18" w:space="0" w:color="auto"/>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18" w:space="0" w:color="auto"/>
            </w:tcBorders>
            <w:shd w:val="clear" w:color="auto" w:fill="A8D08D" w:themeFill="accent6" w:themeFillTint="99"/>
          </w:tcPr>
          <w:p w:rsidR="00290AE4" w:rsidRPr="001A1D57" w:rsidRDefault="00B46145" w:rsidP="001A1D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w:t>
            </w:r>
          </w:p>
        </w:tc>
      </w:tr>
      <w:tr w:rsidR="00290AE4" w:rsidRPr="001A1D57" w:rsidTr="00B46C3F">
        <w:trPr>
          <w:trHeight w:val="1020"/>
        </w:trPr>
        <w:tc>
          <w:tcPr>
            <w:tcW w:w="0" w:type="auto"/>
            <w:tcBorders>
              <w:top w:val="nil"/>
              <w:left w:val="single" w:sz="18" w:space="0" w:color="auto"/>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18"/>
                <w:szCs w:val="18"/>
              </w:rPr>
            </w:pPr>
            <w:r w:rsidRPr="001A1D57">
              <w:rPr>
                <w:rFonts w:ascii="Times New Roman" w:eastAsia="Times New Roman" w:hAnsi="Times New Roman" w:cs="Times New Roman"/>
                <w:color w:val="000000"/>
                <w:sz w:val="18"/>
                <w:szCs w:val="18"/>
              </w:rPr>
              <w:t xml:space="preserve">New construction and does not eliminate obsolete or leased space.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 construction that does not eliminate obsolete or leased space and a partial renovation</w:t>
            </w:r>
            <w:r w:rsidRPr="001A1D57">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 construction that eliminates some obsolete or leased space with a partial renovation.</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 construction that eliminates some obsolete or leased space and a partial renovation project with FCNI &gt;0.30.</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Partial renovation project and FCNI &gt;0.30.</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Full renovation project and FCNI &gt;0.30</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Full renovation project and FCNI &gt;0.40 or new construction that eliminates similar square footage of obsolete or leased space.</w:t>
            </w:r>
          </w:p>
        </w:tc>
        <w:tc>
          <w:tcPr>
            <w:tcW w:w="0" w:type="auto"/>
            <w:tcBorders>
              <w:top w:val="nil"/>
              <w:left w:val="nil"/>
              <w:bottom w:val="single" w:sz="4" w:space="0" w:color="auto"/>
              <w:right w:val="single" w:sz="18" w:space="0" w:color="auto"/>
            </w:tcBorders>
            <w:shd w:val="clear" w:color="auto" w:fill="E2EFD9" w:themeFill="accent6" w:themeFillTint="33"/>
          </w:tcPr>
          <w:p w:rsidR="00290AE4" w:rsidRPr="001A1D57" w:rsidRDefault="00290AE4" w:rsidP="001A1D57">
            <w:pPr>
              <w:spacing w:after="0" w:line="240" w:lineRule="auto"/>
              <w:rPr>
                <w:rFonts w:ascii="Times New Roman" w:eastAsia="Times New Roman" w:hAnsi="Times New Roman" w:cs="Times New Roman"/>
                <w:color w:val="000000"/>
                <w:sz w:val="20"/>
                <w:szCs w:val="20"/>
              </w:rPr>
            </w:pPr>
            <w:permStart w:id="717764378" w:edGrp="everyone"/>
            <w:permEnd w:id="717764378"/>
          </w:p>
        </w:tc>
      </w:tr>
      <w:tr w:rsidR="00CF588A" w:rsidRPr="001A1D57" w:rsidTr="00A93C41">
        <w:trPr>
          <w:trHeight w:val="710"/>
        </w:trPr>
        <w:tc>
          <w:tcPr>
            <w:tcW w:w="0" w:type="auto"/>
            <w:gridSpan w:val="11"/>
            <w:tcBorders>
              <w:top w:val="single" w:sz="4" w:space="0" w:color="auto"/>
              <w:left w:val="single" w:sz="18" w:space="0" w:color="auto"/>
              <w:bottom w:val="single" w:sz="4" w:space="0" w:color="auto"/>
              <w:right w:val="single" w:sz="18" w:space="0" w:color="auto"/>
            </w:tcBorders>
            <w:shd w:val="clear" w:color="auto" w:fill="E2EFD9" w:themeFill="accent6" w:themeFillTint="33"/>
          </w:tcPr>
          <w:p w:rsidR="00CF588A" w:rsidRPr="001A1D57" w:rsidRDefault="00CF588A" w:rsidP="00A93C41">
            <w:pPr>
              <w:spacing w:after="0" w:line="240" w:lineRule="auto"/>
              <w:rPr>
                <w:rFonts w:ascii="Times New Roman" w:eastAsia="Times New Roman" w:hAnsi="Times New Roman" w:cs="Times New Roman"/>
                <w:b/>
                <w:bCs/>
                <w:color w:val="000000"/>
                <w:sz w:val="20"/>
                <w:szCs w:val="20"/>
              </w:rPr>
            </w:pPr>
            <w:r w:rsidRPr="00DE5CB0">
              <w:rPr>
                <w:rFonts w:ascii="Times New Roman" w:eastAsia="Times New Roman" w:hAnsi="Times New Roman" w:cs="Times New Roman"/>
                <w:b/>
                <w:bCs/>
                <w:color w:val="000000"/>
                <w:sz w:val="20"/>
                <w:szCs w:val="20"/>
              </w:rPr>
              <w:t xml:space="preserve">Justification:  </w:t>
            </w:r>
            <w:permStart w:id="777288579" w:edGrp="everyone"/>
            <w:permEnd w:id="777288579"/>
          </w:p>
        </w:tc>
      </w:tr>
      <w:tr w:rsidR="00A93C41" w:rsidRPr="001A1D57" w:rsidTr="00A93C41">
        <w:trPr>
          <w:trHeight w:val="300"/>
        </w:trPr>
        <w:tc>
          <w:tcPr>
            <w:tcW w:w="0" w:type="auto"/>
            <w:gridSpan w:val="11"/>
            <w:tcBorders>
              <w:top w:val="single" w:sz="4" w:space="0" w:color="auto"/>
              <w:left w:val="single" w:sz="18" w:space="0" w:color="auto"/>
              <w:bottom w:val="single" w:sz="4" w:space="0" w:color="auto"/>
              <w:right w:val="single" w:sz="18" w:space="0" w:color="auto"/>
            </w:tcBorders>
            <w:shd w:val="clear" w:color="auto" w:fill="auto"/>
            <w:hideMark/>
          </w:tcPr>
          <w:p w:rsidR="00A93C41" w:rsidRPr="001A1D57" w:rsidRDefault="00A93C41" w:rsidP="001A1D57">
            <w:pPr>
              <w:spacing w:after="0" w:line="240" w:lineRule="auto"/>
              <w:rPr>
                <w:rFonts w:ascii="Times New Roman" w:eastAsia="Times New Roman" w:hAnsi="Times New Roman" w:cs="Times New Roman"/>
                <w:b/>
                <w:bCs/>
                <w:color w:val="000000"/>
                <w:sz w:val="20"/>
                <w:szCs w:val="20"/>
              </w:rPr>
            </w:pPr>
            <w:r w:rsidRPr="001A1D57">
              <w:rPr>
                <w:rFonts w:ascii="Times New Roman" w:eastAsia="Times New Roman" w:hAnsi="Times New Roman" w:cs="Times New Roman"/>
                <w:b/>
                <w:bCs/>
                <w:color w:val="000000"/>
                <w:sz w:val="20"/>
                <w:szCs w:val="20"/>
              </w:rPr>
              <w:t>Infrastructure and Functional Sustainability:</w:t>
            </w:r>
            <w:r w:rsidRPr="001A1D57">
              <w:rPr>
                <w:rFonts w:ascii="Times New Roman" w:eastAsia="Times New Roman" w:hAnsi="Times New Roman" w:cs="Times New Roman"/>
                <w:color w:val="000000"/>
                <w:sz w:val="20"/>
                <w:szCs w:val="20"/>
              </w:rPr>
              <w:t xml:space="preserve"> The degree to which a project is supported by existing campus infrastructure, removes deficiencies in existing campus infrastructure, improves campus energy efficiency, and/or improves campus sustainability</w:t>
            </w:r>
            <w:r>
              <w:rPr>
                <w:rFonts w:ascii="Times New Roman" w:eastAsia="Times New Roman" w:hAnsi="Times New Roman" w:cs="Times New Roman"/>
                <w:color w:val="000000"/>
                <w:sz w:val="20"/>
                <w:szCs w:val="20"/>
              </w:rPr>
              <w:t>.</w:t>
            </w:r>
          </w:p>
        </w:tc>
      </w:tr>
      <w:tr w:rsidR="00290AE4" w:rsidRPr="001A1D57" w:rsidTr="00B46C3F">
        <w:trPr>
          <w:trHeight w:val="300"/>
        </w:trPr>
        <w:tc>
          <w:tcPr>
            <w:tcW w:w="0" w:type="auto"/>
            <w:tcBorders>
              <w:top w:val="nil"/>
              <w:left w:val="single" w:sz="18" w:space="0" w:color="auto"/>
              <w:bottom w:val="single" w:sz="4" w:space="0" w:color="auto"/>
              <w:right w:val="single" w:sz="4" w:space="0" w:color="auto"/>
            </w:tcBorders>
            <w:shd w:val="clear" w:color="auto" w:fill="A8D08D" w:themeFill="accent6" w:themeFillTint="99"/>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18" w:space="0" w:color="auto"/>
            </w:tcBorders>
            <w:shd w:val="clear" w:color="auto" w:fill="A8D08D" w:themeFill="accent6" w:themeFillTint="99"/>
          </w:tcPr>
          <w:p w:rsidR="00290AE4" w:rsidRPr="001A1D57" w:rsidRDefault="00B46145" w:rsidP="001A1D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w:t>
            </w:r>
          </w:p>
        </w:tc>
      </w:tr>
      <w:tr w:rsidR="00290AE4" w:rsidRPr="001A1D57" w:rsidTr="00B46C3F">
        <w:trPr>
          <w:trHeight w:val="1680"/>
        </w:trPr>
        <w:tc>
          <w:tcPr>
            <w:tcW w:w="0" w:type="auto"/>
            <w:tcBorders>
              <w:top w:val="nil"/>
              <w:left w:val="single" w:sz="18" w:space="0" w:color="auto"/>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18"/>
                <w:szCs w:val="18"/>
              </w:rPr>
            </w:pPr>
            <w:r w:rsidRPr="001A1D57">
              <w:rPr>
                <w:rFonts w:ascii="Times New Roman" w:eastAsia="Times New Roman" w:hAnsi="Times New Roman" w:cs="Times New Roman"/>
                <w:color w:val="000000"/>
                <w:sz w:val="18"/>
                <w:szCs w:val="18"/>
              </w:rPr>
              <w:t>The project will require significant additional investment to expand campus infrastructure.  No impact to infrastructure deficiencies, energy efficiency, and/or sustainability.</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The project requires minimal additional investment to expand campus infrastructure, and/or remove infrastructure deficiencies, improve energy efficiency, and/or sustainability.</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The project requir</w:t>
            </w:r>
            <w:r>
              <w:rPr>
                <w:rFonts w:ascii="Times New Roman" w:eastAsia="Times New Roman" w:hAnsi="Times New Roman" w:cs="Times New Roman"/>
                <w:color w:val="000000"/>
                <w:sz w:val="20"/>
                <w:szCs w:val="20"/>
              </w:rPr>
              <w:t>es no additional investment to</w:t>
            </w:r>
            <w:r w:rsidRPr="001A1D57">
              <w:rPr>
                <w:rFonts w:ascii="Times New Roman" w:eastAsia="Times New Roman" w:hAnsi="Times New Roman" w:cs="Times New Roman"/>
                <w:color w:val="000000"/>
                <w:sz w:val="20"/>
                <w:szCs w:val="20"/>
              </w:rPr>
              <w:t xml:space="preserve"> expand campus infrastructure, and/or improves existing campus infrastructure, energy efficiency, and/or sustainability.</w:t>
            </w:r>
          </w:p>
        </w:tc>
        <w:tc>
          <w:tcPr>
            <w:tcW w:w="0" w:type="auto"/>
            <w:tcBorders>
              <w:top w:val="nil"/>
              <w:left w:val="nil"/>
              <w:bottom w:val="single" w:sz="4" w:space="0" w:color="auto"/>
              <w:right w:val="single" w:sz="18" w:space="0" w:color="auto"/>
            </w:tcBorders>
            <w:shd w:val="clear" w:color="auto" w:fill="E2EFD9" w:themeFill="accent6" w:themeFillTint="33"/>
          </w:tcPr>
          <w:p w:rsidR="00290AE4" w:rsidRPr="001A1D57" w:rsidRDefault="00290AE4" w:rsidP="001A1D57">
            <w:pPr>
              <w:spacing w:after="0" w:line="240" w:lineRule="auto"/>
              <w:rPr>
                <w:rFonts w:ascii="Times New Roman" w:eastAsia="Times New Roman" w:hAnsi="Times New Roman" w:cs="Times New Roman"/>
                <w:color w:val="000000"/>
                <w:sz w:val="20"/>
                <w:szCs w:val="20"/>
              </w:rPr>
            </w:pPr>
            <w:permStart w:id="84676615" w:edGrp="everyone"/>
            <w:permEnd w:id="84676615"/>
          </w:p>
        </w:tc>
      </w:tr>
      <w:tr w:rsidR="00CF588A" w:rsidRPr="001A1D57" w:rsidTr="00A93C41">
        <w:trPr>
          <w:trHeight w:val="251"/>
        </w:trPr>
        <w:tc>
          <w:tcPr>
            <w:tcW w:w="0" w:type="auto"/>
            <w:gridSpan w:val="11"/>
            <w:tcBorders>
              <w:top w:val="single" w:sz="4" w:space="0" w:color="auto"/>
              <w:left w:val="single" w:sz="18" w:space="0" w:color="auto"/>
              <w:bottom w:val="single" w:sz="4" w:space="0" w:color="auto"/>
              <w:right w:val="single" w:sz="18" w:space="0" w:color="auto"/>
            </w:tcBorders>
            <w:shd w:val="clear" w:color="auto" w:fill="E2EFD9" w:themeFill="accent6" w:themeFillTint="33"/>
          </w:tcPr>
          <w:p w:rsidR="00CF588A" w:rsidRPr="001A1D57" w:rsidRDefault="00CF588A" w:rsidP="001A1D5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Justification:</w:t>
            </w:r>
            <w:permStart w:id="191317933" w:edGrp="everyone"/>
            <w:permEnd w:id="191317933"/>
          </w:p>
        </w:tc>
      </w:tr>
      <w:tr w:rsidR="00A93C41" w:rsidRPr="001A1D57" w:rsidTr="00A93C41">
        <w:trPr>
          <w:trHeight w:val="600"/>
        </w:trPr>
        <w:tc>
          <w:tcPr>
            <w:tcW w:w="0" w:type="auto"/>
            <w:gridSpan w:val="11"/>
            <w:tcBorders>
              <w:top w:val="single" w:sz="4" w:space="0" w:color="auto"/>
              <w:left w:val="single" w:sz="18" w:space="0" w:color="auto"/>
              <w:bottom w:val="single" w:sz="4" w:space="0" w:color="auto"/>
              <w:right w:val="single" w:sz="18" w:space="0" w:color="auto"/>
            </w:tcBorders>
            <w:shd w:val="clear" w:color="auto" w:fill="auto"/>
            <w:hideMark/>
          </w:tcPr>
          <w:p w:rsidR="00A93C41" w:rsidRPr="001A1D57" w:rsidRDefault="00A93C41" w:rsidP="001A1D57">
            <w:pPr>
              <w:spacing w:after="0" w:line="240" w:lineRule="auto"/>
              <w:rPr>
                <w:rFonts w:ascii="Times New Roman" w:eastAsia="Times New Roman" w:hAnsi="Times New Roman" w:cs="Times New Roman"/>
                <w:b/>
                <w:bCs/>
                <w:color w:val="000000"/>
                <w:sz w:val="20"/>
                <w:szCs w:val="20"/>
              </w:rPr>
            </w:pPr>
            <w:r w:rsidRPr="001A1D57">
              <w:rPr>
                <w:rFonts w:ascii="Times New Roman" w:eastAsia="Times New Roman" w:hAnsi="Times New Roman" w:cs="Times New Roman"/>
                <w:b/>
                <w:bCs/>
                <w:color w:val="000000"/>
                <w:sz w:val="20"/>
                <w:szCs w:val="20"/>
              </w:rPr>
              <w:t>Strategic Space Management:</w:t>
            </w:r>
            <w:r w:rsidRPr="001A1D57">
              <w:rPr>
                <w:rFonts w:ascii="Times New Roman" w:eastAsia="Times New Roman" w:hAnsi="Times New Roman" w:cs="Times New Roman"/>
                <w:color w:val="000000"/>
                <w:sz w:val="20"/>
                <w:szCs w:val="20"/>
              </w:rPr>
              <w:t xml:space="preserve"> The degree to which the project allows the campus to strategically and economically reallocate and/or repurpose space to advance the campus strategic plan. For example, a new construction project creates the opportunity to build space better suited for the program than can be gained through renovation and/or created less expe</w:t>
            </w:r>
            <w:r>
              <w:rPr>
                <w:rFonts w:ascii="Times New Roman" w:eastAsia="Times New Roman" w:hAnsi="Times New Roman" w:cs="Times New Roman"/>
                <w:color w:val="000000"/>
                <w:sz w:val="20"/>
                <w:szCs w:val="20"/>
              </w:rPr>
              <w:t>nsively than through renovation</w:t>
            </w:r>
            <w:r w:rsidRPr="001A1D57">
              <w:rPr>
                <w:rFonts w:ascii="Times New Roman" w:eastAsia="Times New Roman" w:hAnsi="Times New Roman" w:cs="Times New Roman"/>
                <w:color w:val="000000"/>
                <w:sz w:val="20"/>
                <w:szCs w:val="20"/>
              </w:rPr>
              <w:t>.</w:t>
            </w:r>
          </w:p>
        </w:tc>
      </w:tr>
      <w:tr w:rsidR="00290AE4" w:rsidRPr="001A1D57" w:rsidTr="00B46C3F">
        <w:trPr>
          <w:trHeight w:val="300"/>
        </w:trPr>
        <w:tc>
          <w:tcPr>
            <w:tcW w:w="0" w:type="auto"/>
            <w:tcBorders>
              <w:top w:val="nil"/>
              <w:left w:val="single" w:sz="18" w:space="0" w:color="auto"/>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8D08D" w:themeFill="accent6" w:themeFillTint="99"/>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18" w:space="0" w:color="auto"/>
            </w:tcBorders>
            <w:shd w:val="clear" w:color="auto" w:fill="A8D08D" w:themeFill="accent6" w:themeFillTint="99"/>
          </w:tcPr>
          <w:p w:rsidR="00290AE4" w:rsidRPr="001A1D57" w:rsidRDefault="00B46145" w:rsidP="001A1D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w:t>
            </w:r>
          </w:p>
        </w:tc>
      </w:tr>
      <w:tr w:rsidR="00290AE4" w:rsidRPr="001A1D57" w:rsidTr="00B46C3F">
        <w:trPr>
          <w:trHeight w:val="1020"/>
        </w:trPr>
        <w:tc>
          <w:tcPr>
            <w:tcW w:w="0" w:type="auto"/>
            <w:tcBorders>
              <w:top w:val="nil"/>
              <w:left w:val="single" w:sz="18" w:space="0" w:color="auto"/>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18"/>
                <w:szCs w:val="18"/>
              </w:rPr>
            </w:pPr>
            <w:r w:rsidRPr="00CF588A">
              <w:rPr>
                <w:rFonts w:ascii="Times New Roman" w:eastAsia="Times New Roman" w:hAnsi="Times New Roman" w:cs="Times New Roman"/>
                <w:color w:val="000000"/>
                <w:sz w:val="20"/>
                <w:szCs w:val="18"/>
              </w:rPr>
              <w:t>New construction and does not eliminate any obsolete or leased space.</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DE3C8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Renovation that modestly increases space utilization or new construction that eliminates 50% of square footage being built of obsolete or leased space.</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Renovation that significantly increases space utilization.</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DE3C8D">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xml:space="preserve">New construction creates </w:t>
            </w:r>
            <w:r>
              <w:rPr>
                <w:rFonts w:ascii="Times New Roman" w:eastAsia="Times New Roman" w:hAnsi="Times New Roman" w:cs="Times New Roman"/>
                <w:color w:val="000000"/>
                <w:sz w:val="20"/>
                <w:szCs w:val="20"/>
              </w:rPr>
              <w:t>more efficient space and eliminates similar square footage of obsolete/leased space.</w:t>
            </w:r>
          </w:p>
        </w:tc>
        <w:tc>
          <w:tcPr>
            <w:tcW w:w="0" w:type="auto"/>
            <w:tcBorders>
              <w:top w:val="nil"/>
              <w:left w:val="nil"/>
              <w:bottom w:val="single" w:sz="4" w:space="0" w:color="auto"/>
              <w:right w:val="single" w:sz="18" w:space="0" w:color="auto"/>
            </w:tcBorders>
            <w:shd w:val="clear" w:color="auto" w:fill="E2EFD9" w:themeFill="accent6" w:themeFillTint="33"/>
          </w:tcPr>
          <w:p w:rsidR="00290AE4" w:rsidRPr="001A1D57" w:rsidRDefault="00290AE4" w:rsidP="001A1D57">
            <w:pPr>
              <w:spacing w:after="0" w:line="240" w:lineRule="auto"/>
              <w:rPr>
                <w:rFonts w:ascii="Times New Roman" w:eastAsia="Times New Roman" w:hAnsi="Times New Roman" w:cs="Times New Roman"/>
                <w:color w:val="000000"/>
                <w:sz w:val="20"/>
                <w:szCs w:val="20"/>
              </w:rPr>
            </w:pPr>
            <w:permStart w:id="1272982338" w:edGrp="everyone"/>
            <w:permEnd w:id="1272982338"/>
          </w:p>
        </w:tc>
      </w:tr>
      <w:tr w:rsidR="00CF588A" w:rsidRPr="001A1D57" w:rsidTr="00A93C41">
        <w:trPr>
          <w:trHeight w:val="890"/>
        </w:trPr>
        <w:tc>
          <w:tcPr>
            <w:tcW w:w="0" w:type="auto"/>
            <w:gridSpan w:val="11"/>
            <w:tcBorders>
              <w:top w:val="single" w:sz="4" w:space="0" w:color="auto"/>
              <w:left w:val="single" w:sz="18" w:space="0" w:color="auto"/>
              <w:bottom w:val="single" w:sz="4" w:space="0" w:color="auto"/>
              <w:right w:val="single" w:sz="18" w:space="0" w:color="auto"/>
            </w:tcBorders>
            <w:shd w:val="clear" w:color="auto" w:fill="E2EFD9" w:themeFill="accent6" w:themeFillTint="33"/>
          </w:tcPr>
          <w:p w:rsidR="00CF588A" w:rsidRPr="001A1D57" w:rsidRDefault="00CF588A" w:rsidP="001A1D5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Justification:</w:t>
            </w:r>
            <w:permStart w:id="1100554927" w:edGrp="everyone"/>
            <w:permEnd w:id="1100554927"/>
          </w:p>
        </w:tc>
      </w:tr>
      <w:tr w:rsidR="00CF588A" w:rsidRPr="001A1D57" w:rsidTr="00B46C3F">
        <w:trPr>
          <w:trHeight w:val="300"/>
        </w:trPr>
        <w:tc>
          <w:tcPr>
            <w:tcW w:w="0" w:type="auto"/>
            <w:gridSpan w:val="11"/>
            <w:tcBorders>
              <w:top w:val="single" w:sz="4" w:space="0" w:color="auto"/>
              <w:left w:val="single" w:sz="18" w:space="0" w:color="auto"/>
              <w:bottom w:val="single" w:sz="4" w:space="0" w:color="auto"/>
              <w:right w:val="single" w:sz="18" w:space="0" w:color="auto"/>
            </w:tcBorders>
            <w:shd w:val="clear" w:color="auto" w:fill="5B9BD5" w:themeFill="accent1"/>
          </w:tcPr>
          <w:p w:rsidR="00CF588A" w:rsidRPr="001A1D57" w:rsidRDefault="00CF588A" w:rsidP="001A1D5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Funding</w:t>
            </w:r>
          </w:p>
        </w:tc>
      </w:tr>
      <w:tr w:rsidR="00CF588A" w:rsidRPr="001A1D57" w:rsidTr="00A93C41">
        <w:trPr>
          <w:trHeight w:val="300"/>
        </w:trPr>
        <w:tc>
          <w:tcPr>
            <w:tcW w:w="0" w:type="auto"/>
            <w:gridSpan w:val="11"/>
            <w:tcBorders>
              <w:top w:val="single" w:sz="4" w:space="0" w:color="auto"/>
              <w:left w:val="single" w:sz="18" w:space="0" w:color="auto"/>
              <w:bottom w:val="single" w:sz="4" w:space="0" w:color="auto"/>
              <w:right w:val="single" w:sz="18" w:space="0" w:color="auto"/>
            </w:tcBorders>
            <w:shd w:val="clear" w:color="auto" w:fill="auto"/>
            <w:hideMark/>
          </w:tcPr>
          <w:p w:rsidR="00CF588A" w:rsidRPr="001A1D57" w:rsidRDefault="00CF588A" w:rsidP="001A1D57">
            <w:pPr>
              <w:spacing w:after="0" w:line="240" w:lineRule="auto"/>
              <w:rPr>
                <w:rFonts w:ascii="Times New Roman" w:eastAsia="Times New Roman" w:hAnsi="Times New Roman" w:cs="Times New Roman"/>
                <w:b/>
                <w:bCs/>
                <w:color w:val="000000"/>
                <w:sz w:val="20"/>
                <w:szCs w:val="20"/>
              </w:rPr>
            </w:pPr>
            <w:r w:rsidRPr="001A1D57">
              <w:rPr>
                <w:rFonts w:ascii="Times New Roman" w:eastAsia="Times New Roman" w:hAnsi="Times New Roman" w:cs="Times New Roman"/>
                <w:b/>
                <w:bCs/>
                <w:color w:val="000000"/>
                <w:sz w:val="20"/>
                <w:szCs w:val="20"/>
              </w:rPr>
              <w:t xml:space="preserve">External Funding Support: </w:t>
            </w:r>
            <w:r w:rsidRPr="001A1D57">
              <w:rPr>
                <w:rFonts w:ascii="Times New Roman" w:eastAsia="Times New Roman" w:hAnsi="Times New Roman" w:cs="Times New Roman"/>
                <w:color w:val="000000"/>
                <w:sz w:val="20"/>
                <w:szCs w:val="20"/>
              </w:rPr>
              <w:t xml:space="preserve">The degree to which a project includes identified and secured funding. </w:t>
            </w:r>
          </w:p>
        </w:tc>
      </w:tr>
      <w:tr w:rsidR="00290AE4" w:rsidRPr="001A1D57" w:rsidTr="00B46C3F">
        <w:trPr>
          <w:trHeight w:val="300"/>
        </w:trPr>
        <w:tc>
          <w:tcPr>
            <w:tcW w:w="0" w:type="auto"/>
            <w:tcBorders>
              <w:top w:val="nil"/>
              <w:left w:val="single" w:sz="18" w:space="0" w:color="auto"/>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18" w:space="0" w:color="auto"/>
            </w:tcBorders>
            <w:shd w:val="clear" w:color="000000" w:fill="5B9BD5"/>
          </w:tcPr>
          <w:p w:rsidR="00290AE4" w:rsidRPr="001A1D57" w:rsidRDefault="00B46145" w:rsidP="001A1D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w:t>
            </w:r>
          </w:p>
        </w:tc>
      </w:tr>
      <w:tr w:rsidR="00290AE4" w:rsidRPr="001A1D57" w:rsidTr="00B46C3F">
        <w:trPr>
          <w:trHeight w:val="1530"/>
        </w:trPr>
        <w:tc>
          <w:tcPr>
            <w:tcW w:w="0" w:type="auto"/>
            <w:tcBorders>
              <w:top w:val="nil"/>
              <w:left w:val="single" w:sz="18" w:space="0" w:color="auto"/>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18"/>
                <w:szCs w:val="18"/>
              </w:rPr>
            </w:pPr>
            <w:r w:rsidRPr="001A1D57">
              <w:rPr>
                <w:rFonts w:ascii="Times New Roman" w:eastAsia="Times New Roman" w:hAnsi="Times New Roman" w:cs="Times New Roman"/>
                <w:color w:val="000000"/>
                <w:sz w:val="18"/>
                <w:szCs w:val="18"/>
              </w:rPr>
              <w:t>No funding secured.  For state new construction request, more than 80% of the project cost is state funded.</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xml:space="preserve">Funding planned for ≥ 10% of the project cost.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Funding planned for ≥ 20% of the project cost.  For a state new construction request, less than 80% of the project cost is state funded.</w:t>
            </w:r>
          </w:p>
        </w:tc>
        <w:tc>
          <w:tcPr>
            <w:tcW w:w="0" w:type="auto"/>
            <w:tcBorders>
              <w:top w:val="nil"/>
              <w:left w:val="nil"/>
              <w:bottom w:val="single" w:sz="4" w:space="0" w:color="auto"/>
              <w:right w:val="single" w:sz="4" w:space="0" w:color="auto"/>
            </w:tcBorders>
            <w:shd w:val="clear" w:color="auto" w:fill="auto"/>
          </w:tcPr>
          <w:p w:rsidR="00290AE4" w:rsidRPr="001A1D57" w:rsidRDefault="00290AE4" w:rsidP="001A1D57">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xml:space="preserve">Funding secured for ≥ 40% of the project cost.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Funding secured.</w:t>
            </w:r>
          </w:p>
        </w:tc>
        <w:tc>
          <w:tcPr>
            <w:tcW w:w="0" w:type="auto"/>
            <w:tcBorders>
              <w:top w:val="nil"/>
              <w:left w:val="nil"/>
              <w:bottom w:val="single" w:sz="4" w:space="0" w:color="auto"/>
              <w:right w:val="single" w:sz="18" w:space="0" w:color="auto"/>
            </w:tcBorders>
            <w:shd w:val="clear" w:color="auto" w:fill="BDD6EE" w:themeFill="accent1" w:themeFillTint="66"/>
          </w:tcPr>
          <w:p w:rsidR="00290AE4" w:rsidRPr="001A1D57" w:rsidRDefault="00290AE4" w:rsidP="001A1D57">
            <w:pPr>
              <w:spacing w:after="0" w:line="240" w:lineRule="auto"/>
              <w:rPr>
                <w:rFonts w:ascii="Times New Roman" w:eastAsia="Times New Roman" w:hAnsi="Times New Roman" w:cs="Times New Roman"/>
                <w:color w:val="000000"/>
                <w:sz w:val="20"/>
                <w:szCs w:val="20"/>
              </w:rPr>
            </w:pPr>
            <w:permStart w:id="1047615648" w:edGrp="everyone"/>
            <w:permEnd w:id="1047615648"/>
          </w:p>
        </w:tc>
      </w:tr>
      <w:tr w:rsidR="004275A3" w:rsidRPr="001A1D57" w:rsidTr="00B46C3F">
        <w:trPr>
          <w:trHeight w:val="300"/>
        </w:trPr>
        <w:tc>
          <w:tcPr>
            <w:tcW w:w="0" w:type="auto"/>
            <w:gridSpan w:val="11"/>
            <w:tcBorders>
              <w:top w:val="single" w:sz="4" w:space="0" w:color="auto"/>
              <w:left w:val="single" w:sz="18" w:space="0" w:color="auto"/>
              <w:bottom w:val="single" w:sz="4" w:space="0" w:color="auto"/>
              <w:right w:val="single" w:sz="18" w:space="0" w:color="auto"/>
            </w:tcBorders>
            <w:shd w:val="clear" w:color="000000" w:fill="BDD7EE"/>
          </w:tcPr>
          <w:p w:rsidR="004275A3" w:rsidRPr="004275A3" w:rsidRDefault="004275A3" w:rsidP="001A1D57">
            <w:pPr>
              <w:spacing w:after="0" w:line="240" w:lineRule="auto"/>
              <w:rPr>
                <w:rFonts w:ascii="Times New Roman" w:eastAsia="Times New Roman" w:hAnsi="Times New Roman" w:cs="Times New Roman"/>
                <w:b/>
                <w:bCs/>
                <w:color w:val="000000"/>
                <w:sz w:val="20"/>
                <w:szCs w:val="20"/>
              </w:rPr>
            </w:pPr>
            <w:r w:rsidRPr="004275A3">
              <w:rPr>
                <w:rFonts w:ascii="Times New Roman" w:eastAsia="Times New Roman" w:hAnsi="Times New Roman" w:cs="Times New Roman"/>
                <w:b/>
                <w:color w:val="000000"/>
                <w:sz w:val="20"/>
                <w:szCs w:val="20"/>
              </w:rPr>
              <w:t>Justification:</w:t>
            </w:r>
            <w:permStart w:id="1117332330" w:edGrp="everyone"/>
            <w:permEnd w:id="1117332330"/>
          </w:p>
        </w:tc>
      </w:tr>
      <w:tr w:rsidR="00CF588A" w:rsidRPr="001A1D57" w:rsidTr="00A93C41">
        <w:trPr>
          <w:trHeight w:val="300"/>
        </w:trPr>
        <w:tc>
          <w:tcPr>
            <w:tcW w:w="0" w:type="auto"/>
            <w:gridSpan w:val="11"/>
            <w:tcBorders>
              <w:top w:val="single" w:sz="4" w:space="0" w:color="auto"/>
              <w:left w:val="single" w:sz="18" w:space="0" w:color="auto"/>
              <w:bottom w:val="single" w:sz="4" w:space="0" w:color="auto"/>
              <w:right w:val="single" w:sz="18" w:space="0" w:color="auto"/>
            </w:tcBorders>
            <w:shd w:val="clear" w:color="auto" w:fill="auto"/>
            <w:hideMark/>
          </w:tcPr>
          <w:p w:rsidR="00CF588A" w:rsidRPr="001A1D57" w:rsidRDefault="00CF588A" w:rsidP="001A1D57">
            <w:pPr>
              <w:spacing w:after="0" w:line="240" w:lineRule="auto"/>
              <w:rPr>
                <w:rFonts w:ascii="Times New Roman" w:eastAsia="Times New Roman" w:hAnsi="Times New Roman" w:cs="Times New Roman"/>
                <w:b/>
                <w:bCs/>
                <w:color w:val="000000"/>
                <w:sz w:val="20"/>
                <w:szCs w:val="20"/>
              </w:rPr>
            </w:pPr>
            <w:r w:rsidRPr="001A1D57">
              <w:rPr>
                <w:rFonts w:ascii="Times New Roman" w:eastAsia="Times New Roman" w:hAnsi="Times New Roman" w:cs="Times New Roman"/>
                <w:b/>
                <w:bCs/>
                <w:color w:val="000000"/>
                <w:sz w:val="20"/>
                <w:szCs w:val="20"/>
              </w:rPr>
              <w:t>Operating Cost Support:</w:t>
            </w:r>
            <w:r w:rsidRPr="001A1D57">
              <w:rPr>
                <w:rFonts w:ascii="Times New Roman" w:eastAsia="Times New Roman" w:hAnsi="Times New Roman" w:cs="Times New Roman"/>
                <w:color w:val="000000"/>
                <w:sz w:val="20"/>
                <w:szCs w:val="20"/>
              </w:rPr>
              <w:t xml:space="preserve"> The degree to which funding for operating costs has been identified for a project. </w:t>
            </w:r>
          </w:p>
        </w:tc>
      </w:tr>
      <w:tr w:rsidR="00290AE4" w:rsidRPr="001A1D57" w:rsidTr="00B46C3F">
        <w:trPr>
          <w:trHeight w:val="300"/>
        </w:trPr>
        <w:tc>
          <w:tcPr>
            <w:tcW w:w="0" w:type="auto"/>
            <w:tcBorders>
              <w:top w:val="nil"/>
              <w:left w:val="single" w:sz="18" w:space="0" w:color="auto"/>
              <w:bottom w:val="single" w:sz="4" w:space="0" w:color="auto"/>
              <w:right w:val="single" w:sz="4" w:space="0" w:color="auto"/>
            </w:tcBorders>
            <w:shd w:val="clear" w:color="000000" w:fill="5B9BD5"/>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000000" w:fill="5B9BD5"/>
            <w:hideMark/>
          </w:tcPr>
          <w:p w:rsidR="00290AE4" w:rsidRPr="001A1D57" w:rsidRDefault="00290AE4" w:rsidP="001A1D57">
            <w:pPr>
              <w:spacing w:after="0" w:line="240" w:lineRule="auto"/>
              <w:jc w:val="center"/>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18" w:space="0" w:color="auto"/>
            </w:tcBorders>
            <w:shd w:val="clear" w:color="000000" w:fill="5B9BD5"/>
          </w:tcPr>
          <w:p w:rsidR="00290AE4" w:rsidRPr="001A1D57" w:rsidRDefault="00B46145" w:rsidP="001A1D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w:t>
            </w:r>
            <w:bookmarkStart w:id="0" w:name="_GoBack"/>
            <w:bookmarkEnd w:id="0"/>
          </w:p>
        </w:tc>
      </w:tr>
      <w:tr w:rsidR="00290AE4" w:rsidRPr="001A1D57" w:rsidTr="00B46C3F">
        <w:trPr>
          <w:trHeight w:val="1020"/>
        </w:trPr>
        <w:tc>
          <w:tcPr>
            <w:tcW w:w="0" w:type="auto"/>
            <w:tcBorders>
              <w:top w:val="nil"/>
              <w:left w:val="single" w:sz="18" w:space="0" w:color="auto"/>
              <w:bottom w:val="single" w:sz="4" w:space="0" w:color="auto"/>
              <w:right w:val="single" w:sz="4" w:space="0" w:color="auto"/>
            </w:tcBorders>
            <w:shd w:val="clear" w:color="auto" w:fill="auto"/>
            <w:hideMark/>
          </w:tcPr>
          <w:p w:rsidR="00290AE4" w:rsidRPr="001A1D57" w:rsidRDefault="00290AE4" w:rsidP="00290AE4">
            <w:pPr>
              <w:spacing w:after="0" w:line="240" w:lineRule="auto"/>
              <w:rPr>
                <w:rFonts w:ascii="Times New Roman" w:eastAsia="Times New Roman" w:hAnsi="Times New Roman" w:cs="Times New Roman"/>
                <w:color w:val="000000"/>
                <w:sz w:val="18"/>
                <w:szCs w:val="18"/>
              </w:rPr>
            </w:pPr>
            <w:r w:rsidRPr="001A1D57">
              <w:rPr>
                <w:rFonts w:ascii="Times New Roman" w:eastAsia="Times New Roman" w:hAnsi="Times New Roman" w:cs="Times New Roman"/>
                <w:color w:val="000000"/>
                <w:sz w:val="18"/>
                <w:szCs w:val="18"/>
              </w:rPr>
              <w:t>The project will require additional operating funds and the source has not been identified.</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DE3C8D">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xml:space="preserve">The project operating costs are not secured </w:t>
            </w:r>
            <w:r>
              <w:rPr>
                <w:rFonts w:ascii="Times New Roman" w:eastAsia="Times New Roman" w:hAnsi="Times New Roman" w:cs="Times New Roman"/>
                <w:color w:val="000000"/>
                <w:sz w:val="20"/>
                <w:szCs w:val="20"/>
              </w:rPr>
              <w:t>but will not be more than the current operating cost.</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The project operating cost have been secured and the operating cost will be higher than existing costs.</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sidRPr="001A1D5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rsidR="00290AE4" w:rsidRPr="001A1D57" w:rsidRDefault="00290AE4" w:rsidP="001A1D5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project operating costs have been secured and the operating cost will be lower than existing costs.</w:t>
            </w:r>
          </w:p>
        </w:tc>
        <w:tc>
          <w:tcPr>
            <w:tcW w:w="0" w:type="auto"/>
            <w:tcBorders>
              <w:top w:val="nil"/>
              <w:left w:val="nil"/>
              <w:bottom w:val="single" w:sz="4" w:space="0" w:color="auto"/>
              <w:right w:val="single" w:sz="18" w:space="0" w:color="auto"/>
            </w:tcBorders>
            <w:shd w:val="clear" w:color="auto" w:fill="BDD6EE" w:themeFill="accent1" w:themeFillTint="66"/>
          </w:tcPr>
          <w:p w:rsidR="00290AE4" w:rsidRPr="001A1D57" w:rsidRDefault="00290AE4" w:rsidP="001A1D57">
            <w:pPr>
              <w:spacing w:after="0" w:line="240" w:lineRule="auto"/>
              <w:rPr>
                <w:rFonts w:ascii="Times New Roman" w:eastAsia="Times New Roman" w:hAnsi="Times New Roman" w:cs="Times New Roman"/>
                <w:color w:val="000000"/>
                <w:sz w:val="20"/>
                <w:szCs w:val="20"/>
              </w:rPr>
            </w:pPr>
            <w:permStart w:id="1758731254" w:edGrp="everyone"/>
            <w:permEnd w:id="1758731254"/>
          </w:p>
        </w:tc>
      </w:tr>
      <w:tr w:rsidR="00CF588A" w:rsidRPr="001A1D57" w:rsidTr="00B46C3F">
        <w:trPr>
          <w:trHeight w:val="1151"/>
        </w:trPr>
        <w:tc>
          <w:tcPr>
            <w:tcW w:w="0" w:type="auto"/>
            <w:gridSpan w:val="11"/>
            <w:tcBorders>
              <w:top w:val="single" w:sz="4" w:space="0" w:color="auto"/>
              <w:left w:val="single" w:sz="18" w:space="0" w:color="auto"/>
              <w:bottom w:val="single" w:sz="18" w:space="0" w:color="auto"/>
              <w:right w:val="single" w:sz="18" w:space="0" w:color="auto"/>
            </w:tcBorders>
            <w:shd w:val="clear" w:color="000000" w:fill="BDD7EE"/>
          </w:tcPr>
          <w:p w:rsidR="00CF588A" w:rsidRPr="004275A3" w:rsidRDefault="00CF588A" w:rsidP="001A1D57">
            <w:pPr>
              <w:spacing w:after="0" w:line="240" w:lineRule="auto"/>
              <w:rPr>
                <w:rFonts w:ascii="Times New Roman" w:eastAsia="Times New Roman" w:hAnsi="Times New Roman" w:cs="Times New Roman"/>
                <w:b/>
                <w:bCs/>
                <w:color w:val="000000"/>
                <w:sz w:val="20"/>
                <w:szCs w:val="20"/>
              </w:rPr>
            </w:pPr>
            <w:r w:rsidRPr="004275A3">
              <w:rPr>
                <w:rFonts w:ascii="Times New Roman" w:eastAsia="Times New Roman" w:hAnsi="Times New Roman" w:cs="Times New Roman"/>
                <w:b/>
                <w:color w:val="000000"/>
                <w:sz w:val="20"/>
                <w:szCs w:val="20"/>
              </w:rPr>
              <w:t>Justification:</w:t>
            </w:r>
            <w:permStart w:id="1743217109" w:edGrp="everyone"/>
            <w:permEnd w:id="1743217109"/>
          </w:p>
        </w:tc>
      </w:tr>
    </w:tbl>
    <w:p w:rsidR="001A1D57" w:rsidRDefault="001A1D57"/>
    <w:sectPr w:rsidR="001A1D57" w:rsidSect="001A1D5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2B23"/>
    <w:multiLevelType w:val="hybridMultilevel"/>
    <w:tmpl w:val="23D8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77"/>
  <w:proofState w:spelling="clean" w:grammar="clean"/>
  <w:documentProtection w:edit="readOnly" w:enforcement="1" w:cryptProviderType="rsaAES" w:cryptAlgorithmClass="hash" w:cryptAlgorithmType="typeAny" w:cryptAlgorithmSid="14" w:cryptSpinCount="100000" w:hash="IEaquTTw9rb5w5SCaD176Qwk6s0RyDBEfKDQnqTIaX86H/xaYySu0DUkPoOMhI2sfuMO07NHIoaYz8Ou8XQTWg==" w:salt="kNk4DakIsF69vwe4S//x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57"/>
    <w:rsid w:val="00024CE3"/>
    <w:rsid w:val="00027781"/>
    <w:rsid w:val="00031B80"/>
    <w:rsid w:val="000347FB"/>
    <w:rsid w:val="00045BFD"/>
    <w:rsid w:val="0008139E"/>
    <w:rsid w:val="000863AF"/>
    <w:rsid w:val="00087553"/>
    <w:rsid w:val="000937E3"/>
    <w:rsid w:val="00094973"/>
    <w:rsid w:val="000B3490"/>
    <w:rsid w:val="000D0F15"/>
    <w:rsid w:val="000E300F"/>
    <w:rsid w:val="0013173C"/>
    <w:rsid w:val="001632D4"/>
    <w:rsid w:val="00184D35"/>
    <w:rsid w:val="001A1D57"/>
    <w:rsid w:val="001B0857"/>
    <w:rsid w:val="001D2C18"/>
    <w:rsid w:val="001F06E0"/>
    <w:rsid w:val="00254D12"/>
    <w:rsid w:val="0026591A"/>
    <w:rsid w:val="00290AE4"/>
    <w:rsid w:val="002B6C10"/>
    <w:rsid w:val="002D3760"/>
    <w:rsid w:val="002F35F2"/>
    <w:rsid w:val="003076F3"/>
    <w:rsid w:val="00334378"/>
    <w:rsid w:val="00351D02"/>
    <w:rsid w:val="00355D11"/>
    <w:rsid w:val="003702B6"/>
    <w:rsid w:val="0038292D"/>
    <w:rsid w:val="0038779F"/>
    <w:rsid w:val="00393753"/>
    <w:rsid w:val="003A08A8"/>
    <w:rsid w:val="003C42D4"/>
    <w:rsid w:val="003D4337"/>
    <w:rsid w:val="003E635B"/>
    <w:rsid w:val="00402336"/>
    <w:rsid w:val="004275A3"/>
    <w:rsid w:val="004460D6"/>
    <w:rsid w:val="004519E4"/>
    <w:rsid w:val="00457A3D"/>
    <w:rsid w:val="00461D08"/>
    <w:rsid w:val="004741B2"/>
    <w:rsid w:val="004834DF"/>
    <w:rsid w:val="004B4F57"/>
    <w:rsid w:val="004D7F45"/>
    <w:rsid w:val="004E2E37"/>
    <w:rsid w:val="005B6C21"/>
    <w:rsid w:val="005D4DEB"/>
    <w:rsid w:val="005E21B2"/>
    <w:rsid w:val="005E38E1"/>
    <w:rsid w:val="005F6565"/>
    <w:rsid w:val="00623811"/>
    <w:rsid w:val="00624D7F"/>
    <w:rsid w:val="00647C2C"/>
    <w:rsid w:val="006B56EE"/>
    <w:rsid w:val="006C2B0B"/>
    <w:rsid w:val="0070774A"/>
    <w:rsid w:val="00744E0E"/>
    <w:rsid w:val="00750C57"/>
    <w:rsid w:val="007F5882"/>
    <w:rsid w:val="00801BF6"/>
    <w:rsid w:val="00831BC8"/>
    <w:rsid w:val="0084119A"/>
    <w:rsid w:val="00842C18"/>
    <w:rsid w:val="00852FA1"/>
    <w:rsid w:val="00895110"/>
    <w:rsid w:val="008B6202"/>
    <w:rsid w:val="008D295F"/>
    <w:rsid w:val="008D2C33"/>
    <w:rsid w:val="009049F5"/>
    <w:rsid w:val="00906F54"/>
    <w:rsid w:val="00945A97"/>
    <w:rsid w:val="00952C9D"/>
    <w:rsid w:val="00984882"/>
    <w:rsid w:val="009C0CD1"/>
    <w:rsid w:val="009D6F3E"/>
    <w:rsid w:val="00A25727"/>
    <w:rsid w:val="00A42A5E"/>
    <w:rsid w:val="00A6566B"/>
    <w:rsid w:val="00A72587"/>
    <w:rsid w:val="00A93C41"/>
    <w:rsid w:val="00AB4599"/>
    <w:rsid w:val="00AC6D36"/>
    <w:rsid w:val="00AE4096"/>
    <w:rsid w:val="00AF455F"/>
    <w:rsid w:val="00B06692"/>
    <w:rsid w:val="00B2466B"/>
    <w:rsid w:val="00B24BCA"/>
    <w:rsid w:val="00B46145"/>
    <w:rsid w:val="00B46C3F"/>
    <w:rsid w:val="00B56826"/>
    <w:rsid w:val="00B83A7A"/>
    <w:rsid w:val="00B85A52"/>
    <w:rsid w:val="00BC3FB7"/>
    <w:rsid w:val="00BF54D8"/>
    <w:rsid w:val="00BF7FE5"/>
    <w:rsid w:val="00C00A51"/>
    <w:rsid w:val="00C2628D"/>
    <w:rsid w:val="00C4082D"/>
    <w:rsid w:val="00C61B69"/>
    <w:rsid w:val="00C95BF8"/>
    <w:rsid w:val="00CC7F7B"/>
    <w:rsid w:val="00CD6B43"/>
    <w:rsid w:val="00CF588A"/>
    <w:rsid w:val="00D0549E"/>
    <w:rsid w:val="00D65E56"/>
    <w:rsid w:val="00DB09C7"/>
    <w:rsid w:val="00DE3C8D"/>
    <w:rsid w:val="00DE5CB0"/>
    <w:rsid w:val="00E21C6E"/>
    <w:rsid w:val="00E456BF"/>
    <w:rsid w:val="00E74180"/>
    <w:rsid w:val="00F059DE"/>
    <w:rsid w:val="00F47336"/>
    <w:rsid w:val="00F47D1C"/>
    <w:rsid w:val="00F6170E"/>
    <w:rsid w:val="00F730A3"/>
    <w:rsid w:val="00F73E6D"/>
    <w:rsid w:val="00FA4FCA"/>
    <w:rsid w:val="00FE7705"/>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A1D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57"/>
    <w:pPr>
      <w:ind w:left="720"/>
      <w:contextualSpacing/>
    </w:pPr>
  </w:style>
  <w:style w:type="character" w:customStyle="1" w:styleId="Heading2Char">
    <w:name w:val="Heading 2 Char"/>
    <w:basedOn w:val="DefaultParagraphFont"/>
    <w:link w:val="Heading2"/>
    <w:uiPriority w:val="9"/>
    <w:rsid w:val="001A1D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1E952-1680-448E-B37A-D979DBA05B01}"/>
</file>

<file path=customXml/itemProps2.xml><?xml version="1.0" encoding="utf-8"?>
<ds:datastoreItem xmlns:ds="http://schemas.openxmlformats.org/officeDocument/2006/customXml" ds:itemID="{BE8744AF-5AEE-4466-A5C0-29E78F889BD4}"/>
</file>

<file path=customXml/itemProps3.xml><?xml version="1.0" encoding="utf-8"?>
<ds:datastoreItem xmlns:ds="http://schemas.openxmlformats.org/officeDocument/2006/customXml" ds:itemID="{CDCC826F-F281-4A1C-8A6E-56FE0E4E1866}"/>
</file>

<file path=docProps/app.xml><?xml version="1.0" encoding="utf-8"?>
<Properties xmlns="http://schemas.openxmlformats.org/officeDocument/2006/extended-properties" xmlns:vt="http://schemas.openxmlformats.org/officeDocument/2006/docPropsVTypes">
  <Template>Capital Project Facilities Stewardship Index Template</Template>
  <TotalTime>1</TotalTime>
  <Pages>3</Pages>
  <Words>885</Words>
  <Characters>5046</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Vickie M.</dc:creator>
  <cp:keywords/>
  <dc:description/>
  <cp:lastModifiedBy>Moore, Vickie M.</cp:lastModifiedBy>
  <cp:revision>3</cp:revision>
  <dcterms:created xsi:type="dcterms:W3CDTF">2018-05-29T19:22:00Z</dcterms:created>
  <dcterms:modified xsi:type="dcterms:W3CDTF">2018-06-15T16:27:00Z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47700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